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EC" w:rsidRDefault="00511BE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1BEC" w:rsidRDefault="00511BEC">
      <w:pPr>
        <w:pStyle w:val="ConsPlusNormal"/>
        <w:jc w:val="both"/>
        <w:outlineLvl w:val="0"/>
      </w:pPr>
    </w:p>
    <w:p w:rsidR="00511BEC" w:rsidRDefault="00511BEC">
      <w:pPr>
        <w:pStyle w:val="ConsPlusNormal"/>
        <w:outlineLvl w:val="0"/>
      </w:pPr>
      <w:r>
        <w:t>Зарегистрировано в Минюсте России 4 июня 2018 г. N 51270</w:t>
      </w:r>
    </w:p>
    <w:p w:rsidR="00511BEC" w:rsidRDefault="00511B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BEC" w:rsidRDefault="00511BEC">
      <w:pPr>
        <w:pStyle w:val="ConsPlusNormal"/>
        <w:jc w:val="both"/>
      </w:pPr>
    </w:p>
    <w:p w:rsidR="00511BEC" w:rsidRDefault="00511BEC">
      <w:pPr>
        <w:pStyle w:val="ConsPlusTitle"/>
        <w:jc w:val="center"/>
      </w:pPr>
      <w:r>
        <w:t>МИНИСТЕРСТВО ЗДРАВООХРАНЕНИЯ РОССИЙСКОЙ ФЕДЕРАЦИИ</w:t>
      </w:r>
    </w:p>
    <w:p w:rsidR="00511BEC" w:rsidRDefault="00511BEC">
      <w:pPr>
        <w:pStyle w:val="ConsPlusTitle"/>
        <w:jc w:val="both"/>
      </w:pPr>
    </w:p>
    <w:p w:rsidR="00511BEC" w:rsidRDefault="00511BEC">
      <w:pPr>
        <w:pStyle w:val="ConsPlusTitle"/>
        <w:jc w:val="center"/>
      </w:pPr>
      <w:r>
        <w:t>ПРИКАЗ</w:t>
      </w:r>
    </w:p>
    <w:p w:rsidR="00511BEC" w:rsidRDefault="00511BEC">
      <w:pPr>
        <w:pStyle w:val="ConsPlusTitle"/>
        <w:jc w:val="center"/>
      </w:pPr>
      <w:r>
        <w:t>от 8 февраля 2018 г. N 53н</w:t>
      </w:r>
    </w:p>
    <w:p w:rsidR="00511BEC" w:rsidRDefault="00511BEC">
      <w:pPr>
        <w:pStyle w:val="ConsPlusTitle"/>
        <w:jc w:val="both"/>
      </w:pPr>
    </w:p>
    <w:p w:rsidR="00511BEC" w:rsidRDefault="00511BEC">
      <w:pPr>
        <w:pStyle w:val="ConsPlusTitle"/>
        <w:jc w:val="center"/>
      </w:pPr>
      <w:r>
        <w:t>ОБ УТВЕРЖДЕНИИ ПОРЯДКА</w:t>
      </w:r>
    </w:p>
    <w:p w:rsidR="00511BEC" w:rsidRDefault="00511BEC">
      <w:pPr>
        <w:pStyle w:val="ConsPlusTitle"/>
        <w:jc w:val="center"/>
      </w:pPr>
      <w:r>
        <w:t>РАЗРАБОТКИ СТАНДАРТОВ МЕДИЦИНСКОЙ ПОМОЩИ</w:t>
      </w:r>
    </w:p>
    <w:p w:rsidR="00511BEC" w:rsidRDefault="00511B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1B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1BEC" w:rsidRDefault="00511B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1BEC" w:rsidRDefault="00511B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28.06.2019 N 472н)</w:t>
            </w:r>
          </w:p>
        </w:tc>
      </w:tr>
    </w:tbl>
    <w:p w:rsidR="00511BEC" w:rsidRDefault="00511BEC">
      <w:pPr>
        <w:pStyle w:val="ConsPlusNormal"/>
        <w:jc w:val="both"/>
      </w:pPr>
    </w:p>
    <w:p w:rsidR="00511BEC" w:rsidRDefault="00511BE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2017, N 31, ст. 4791) приказываю: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разработки стандартов медицинской помощи согласно приложению.</w:t>
      </w:r>
    </w:p>
    <w:p w:rsidR="00511BEC" w:rsidRDefault="00511BEC">
      <w:pPr>
        <w:pStyle w:val="ConsPlusNormal"/>
        <w:jc w:val="both"/>
      </w:pPr>
    </w:p>
    <w:p w:rsidR="00511BEC" w:rsidRDefault="00511BEC">
      <w:pPr>
        <w:pStyle w:val="ConsPlusNormal"/>
        <w:jc w:val="right"/>
      </w:pPr>
      <w:r>
        <w:t>Министр</w:t>
      </w:r>
    </w:p>
    <w:p w:rsidR="00511BEC" w:rsidRDefault="00511BEC">
      <w:pPr>
        <w:pStyle w:val="ConsPlusNormal"/>
        <w:jc w:val="right"/>
      </w:pPr>
      <w:r>
        <w:t>В.И.СКВОРЦОВА</w:t>
      </w:r>
    </w:p>
    <w:p w:rsidR="00511BEC" w:rsidRDefault="00511BEC">
      <w:pPr>
        <w:pStyle w:val="ConsPlusNormal"/>
        <w:jc w:val="both"/>
      </w:pPr>
    </w:p>
    <w:p w:rsidR="00511BEC" w:rsidRDefault="00511BEC">
      <w:pPr>
        <w:pStyle w:val="ConsPlusNormal"/>
        <w:jc w:val="both"/>
      </w:pPr>
    </w:p>
    <w:p w:rsidR="00511BEC" w:rsidRDefault="00511BEC">
      <w:pPr>
        <w:pStyle w:val="ConsPlusNormal"/>
        <w:jc w:val="both"/>
      </w:pPr>
    </w:p>
    <w:p w:rsidR="00511BEC" w:rsidRDefault="00511BEC">
      <w:pPr>
        <w:pStyle w:val="ConsPlusNormal"/>
        <w:jc w:val="both"/>
      </w:pPr>
    </w:p>
    <w:p w:rsidR="00511BEC" w:rsidRDefault="00511BEC">
      <w:pPr>
        <w:pStyle w:val="ConsPlusNormal"/>
        <w:jc w:val="both"/>
      </w:pPr>
    </w:p>
    <w:p w:rsidR="00511BEC" w:rsidRDefault="00511BEC">
      <w:pPr>
        <w:pStyle w:val="ConsPlusNormal"/>
        <w:jc w:val="right"/>
        <w:outlineLvl w:val="0"/>
      </w:pPr>
      <w:r>
        <w:t>Приложение</w:t>
      </w:r>
    </w:p>
    <w:p w:rsidR="00511BEC" w:rsidRDefault="00511BEC">
      <w:pPr>
        <w:pStyle w:val="ConsPlusNormal"/>
        <w:jc w:val="right"/>
      </w:pPr>
      <w:r>
        <w:t>к приказу Министерства здравоохранения</w:t>
      </w:r>
    </w:p>
    <w:p w:rsidR="00511BEC" w:rsidRDefault="00511BEC">
      <w:pPr>
        <w:pStyle w:val="ConsPlusNormal"/>
        <w:jc w:val="right"/>
      </w:pPr>
      <w:r>
        <w:t>Российской Федерации</w:t>
      </w:r>
    </w:p>
    <w:p w:rsidR="00511BEC" w:rsidRDefault="00511BEC">
      <w:pPr>
        <w:pStyle w:val="ConsPlusNormal"/>
        <w:jc w:val="right"/>
      </w:pPr>
      <w:r>
        <w:t>от 8 февраля 2018 г. N 53н</w:t>
      </w:r>
    </w:p>
    <w:p w:rsidR="00511BEC" w:rsidRDefault="00511BEC">
      <w:pPr>
        <w:pStyle w:val="ConsPlusNormal"/>
        <w:jc w:val="both"/>
      </w:pPr>
    </w:p>
    <w:p w:rsidR="00511BEC" w:rsidRDefault="00511BEC">
      <w:pPr>
        <w:pStyle w:val="ConsPlusTitle"/>
        <w:jc w:val="center"/>
      </w:pPr>
      <w:bookmarkStart w:id="0" w:name="P29"/>
      <w:bookmarkEnd w:id="0"/>
      <w:r>
        <w:t>ПОРЯДОК</w:t>
      </w:r>
    </w:p>
    <w:p w:rsidR="00511BEC" w:rsidRDefault="00511BEC">
      <w:pPr>
        <w:pStyle w:val="ConsPlusTitle"/>
        <w:jc w:val="center"/>
      </w:pPr>
      <w:r>
        <w:t>РАЗРАБОТКИ СТАНДАРТОВ МЕДИЦИНСКОЙ ПОМОЩИ</w:t>
      </w:r>
    </w:p>
    <w:p w:rsidR="00511BEC" w:rsidRDefault="00511B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1B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1BEC" w:rsidRDefault="00511B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1BEC" w:rsidRDefault="00511B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28.06.2019 N 472н)</w:t>
            </w:r>
          </w:p>
        </w:tc>
      </w:tr>
    </w:tbl>
    <w:p w:rsidR="00511BEC" w:rsidRDefault="00511BEC">
      <w:pPr>
        <w:pStyle w:val="ConsPlusNormal"/>
        <w:jc w:val="both"/>
      </w:pPr>
    </w:p>
    <w:p w:rsidR="00511BEC" w:rsidRDefault="00511BEC">
      <w:pPr>
        <w:pStyle w:val="ConsPlusNormal"/>
        <w:ind w:firstLine="540"/>
        <w:jc w:val="both"/>
      </w:pPr>
      <w:r>
        <w:t>1. Настоящий порядок устанавливает правила разработки стандартов медицинской помощи (далее - порядок).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 xml:space="preserve">2. Стандарт медицинской помощи разрабатывается на основе клинических рекомендаций, одобренных и утвержденных в соответствии со </w:t>
      </w:r>
      <w:hyperlink r:id="rId9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&lt;1&gt;.</w:t>
      </w:r>
    </w:p>
    <w:p w:rsidR="00511BEC" w:rsidRDefault="00511BEC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России от 28.06.2019 N 472н)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2011, N 48, ст. 6724; 2015, N 10, ст. 1425; 2017, N 31, ст. 4791; 2018, N 53, ст. 8415.</w:t>
      </w:r>
    </w:p>
    <w:p w:rsidR="00511BEC" w:rsidRDefault="00511BEC">
      <w:pPr>
        <w:pStyle w:val="ConsPlusNormal"/>
        <w:jc w:val="both"/>
      </w:pPr>
      <w:r>
        <w:lastRenderedPageBreak/>
        <w:t xml:space="preserve">(сноска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28.06.2019 N 472н)</w:t>
      </w:r>
    </w:p>
    <w:p w:rsidR="00511BEC" w:rsidRDefault="00511BEC">
      <w:pPr>
        <w:pStyle w:val="ConsPlusNormal"/>
        <w:jc w:val="both"/>
      </w:pPr>
    </w:p>
    <w:p w:rsidR="00511BEC" w:rsidRDefault="00511BEC">
      <w:pPr>
        <w:pStyle w:val="ConsPlusNormal"/>
        <w:ind w:firstLine="540"/>
        <w:jc w:val="both"/>
      </w:pPr>
      <w:r>
        <w:t xml:space="preserve">2.1. </w:t>
      </w:r>
      <w:proofErr w:type="gramStart"/>
      <w:r>
        <w:t>Стандарт медицинской помощи состоит из паспортной и основной частей.</w:t>
      </w:r>
      <w:proofErr w:type="gramEnd"/>
    </w:p>
    <w:p w:rsidR="00511BEC" w:rsidRDefault="00511B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Минздрава России от 28.06.2019 N 472н)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3. Паспортная часть стандарта медицинской помощи включает:</w:t>
      </w:r>
    </w:p>
    <w:p w:rsidR="00511BEC" w:rsidRDefault="00511BE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Минздрава России от 28.06.2019 N 472н)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1) возрастную категорию пациента;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2) пол пациента;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3) вид медицинской помощи;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4) условия оказания медицинской помощи;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5) форму оказания медицинской помощи;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6) фазу течения заболевания (состояния);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7) стадию и (или) степень тяжести заболевания (состояния);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8) осложнение (при наличии);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9) среднюю продолжительность лечения законченного случая (количество дней);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 xml:space="preserve">10) нозологические единицы с указанием кода в соответствии с Международной статистической </w:t>
      </w:r>
      <w:hyperlink r:id="rId14" w:history="1">
        <w:r>
          <w:rPr>
            <w:color w:val="0000FF"/>
          </w:rPr>
          <w:t>классификацией</w:t>
        </w:r>
      </w:hyperlink>
      <w:r>
        <w:t xml:space="preserve"> болезней и проблем, связанных со здоровьем.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4. Основная часть стандарта медицинской помощи включает в себя усредненные показатели частоты предоставления и кратности применения: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1) медицинских услуг, включенных в номенклатуру медицинских услуг &lt;1-1&gt;;</w:t>
      </w:r>
    </w:p>
    <w:p w:rsidR="00511BEC" w:rsidRDefault="00511BEC">
      <w:pPr>
        <w:pStyle w:val="ConsPlusNormal"/>
        <w:jc w:val="both"/>
      </w:pPr>
      <w:r>
        <w:t xml:space="preserve">(пп. 1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28.06.2019 N 472н)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1BEC" w:rsidRDefault="00511BEC">
      <w:pPr>
        <w:pStyle w:val="ConsPlusNormal"/>
        <w:spacing w:before="220"/>
        <w:ind w:firstLine="540"/>
        <w:jc w:val="both"/>
      </w:pPr>
      <w:proofErr w:type="gramStart"/>
      <w:r>
        <w:t xml:space="preserve">&lt;1-1&gt;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октября 2017 г. N 804н "Об утверждении номенклатуры медицинских услуг" (зарегистрирован Министерством юстиции Российской Федерации 7 ноября 2017 г., регистрационный N 48808) с изменениями, внесенными приказом Министерства здравоохранения Российской Федерации от 16 апреля 2019 г. N 217н (зарегистрирован Министерством юстиции Российской Федерации 25 июня 2019 г., регистрационный N 55024).</w:t>
      </w:r>
      <w:proofErr w:type="gramEnd"/>
    </w:p>
    <w:p w:rsidR="00511BEC" w:rsidRDefault="00511BEC">
      <w:pPr>
        <w:pStyle w:val="ConsPlusNormal"/>
        <w:jc w:val="both"/>
      </w:pPr>
      <w:r>
        <w:t xml:space="preserve">(сноска введена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Минздрава России от 28.06.2019 N 472н)</w:t>
      </w:r>
    </w:p>
    <w:p w:rsidR="00511BEC" w:rsidRDefault="00511BEC">
      <w:pPr>
        <w:pStyle w:val="ConsPlusNormal"/>
        <w:ind w:firstLine="540"/>
        <w:jc w:val="both"/>
      </w:pPr>
    </w:p>
    <w:p w:rsidR="00511BEC" w:rsidRDefault="00511BEC">
      <w:pPr>
        <w:pStyle w:val="ConsPlusNormal"/>
        <w:ind w:firstLine="540"/>
        <w:jc w:val="both"/>
      </w:pPr>
      <w:r>
        <w:t>2) зарегистрированных на территории Российской Федерации лекарственных препаратов для медицинского применения (далее - лекарственные препараты) (с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классификации, рекомендованной Всемирной организацией здравоохранения;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3) медицинских изделий, имплантируемых в организм человека &lt;2&gt;;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8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</w:t>
      </w:r>
      <w:r>
        <w:lastRenderedPageBreak/>
        <w:t xml:space="preserve">гражданам медицинской помощи, утвержденный </w:t>
      </w:r>
      <w:hyperlink r:id="rId1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31 декабря 2018 г. N 3053-р (Собрание законодательства Российской Федерации, 2019, N 2, ст. 196) (далее - Перечень медицинских изделий).</w:t>
      </w:r>
    </w:p>
    <w:p w:rsidR="00511BEC" w:rsidRDefault="00511BE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России от 28.06.2019 N 472н)</w:t>
      </w:r>
    </w:p>
    <w:p w:rsidR="00511BEC" w:rsidRDefault="00511BEC">
      <w:pPr>
        <w:pStyle w:val="ConsPlusNormal"/>
        <w:jc w:val="both"/>
      </w:pPr>
    </w:p>
    <w:p w:rsidR="00511BEC" w:rsidRDefault="00511BEC">
      <w:pPr>
        <w:pStyle w:val="ConsPlusNormal"/>
        <w:ind w:firstLine="540"/>
        <w:jc w:val="both"/>
      </w:pPr>
      <w:r>
        <w:t>4) компонентов крови;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5) видов лечебного питания, включая специализированные продукты лечебного питания;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6) иного исходя из особенностей заболевания (состояния).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5. Разработка стандарта медицинской помощи включает в себя формирование проекта стандарта медицинской помощи и проекта нормативного правового акта об утверждении стандарта медицинской помощи.</w:t>
      </w:r>
    </w:p>
    <w:p w:rsidR="00511BEC" w:rsidRDefault="00511BEC">
      <w:pPr>
        <w:pStyle w:val="ConsPlusNormal"/>
        <w:spacing w:before="220"/>
        <w:ind w:firstLine="540"/>
        <w:jc w:val="both"/>
      </w:pPr>
      <w:bookmarkStart w:id="1" w:name="P72"/>
      <w:bookmarkEnd w:id="1"/>
      <w:r>
        <w:t>6. Предложения по разработке проекта стандарта медицинской помощи в Министерство здравоохранения Российской Федерации (далее - Министерство) представляются: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а) главными внештатными специалистами Министерства;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б) органами государственной власти субъектов Российской Федерации в сфере охраны здоровья;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в) Федеральным фондом обязательного медицинского страхования;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г) департаментами Министерства.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7. Предложения по разработке проекта стандарта медицинской помощи направляются на бумажном носителе или в форме электронного документа, подписанного электронной подписью, и включают в себя следующую информацию: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 xml:space="preserve">а) наименование заболевания (состояния), включая стадию и (или) степень тяжести заболевания с перечислением осложнений (при наличии) с указанием кода в соответствии с Международной статистической </w:t>
      </w:r>
      <w:hyperlink r:id="rId21" w:history="1">
        <w:r>
          <w:rPr>
            <w:color w:val="0000FF"/>
          </w:rPr>
          <w:t>классификацией</w:t>
        </w:r>
      </w:hyperlink>
      <w:r>
        <w:t xml:space="preserve"> болезней и проблем, связанных со здоровьем;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б) возрастную категорию пациента;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в) условия и форму оказания медицинской помощи;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г) рекомендуемые к включению медицинские услуги, лекарственные препараты;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д) рекомендуемые к включению медицинские изделия, имплантируемые в организм человека, компоненты крови, виды лечебного питания, включая специализированные продукты лечебного питания;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е) иное, исходя из особенностей заболевания (состояния).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7.1. Разработка стандарта медицинской помощи осуществляется на основе соответствующих клинических рекомендаций не позднее 6 месяцев после их размещения на официальном сайте Министерства в информационно-телекоммуникационной сети "Интернет".</w:t>
      </w:r>
    </w:p>
    <w:p w:rsidR="00511BEC" w:rsidRDefault="00511B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Минздрава России от 28.06.2019 N 472н)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8. Включение в проект стандарта медицинской помощи медицинских услуг, лекарственных препаратов, медицинских изделий, имплантируемых в организм человека, компонентов крови, видов лечебного питания, включая специализированные продукты лечебного питания, осуществляется с учетом наличия их в клинических рекомендациях.</w:t>
      </w:r>
    </w:p>
    <w:p w:rsidR="00511BEC" w:rsidRDefault="00511B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28.06.2019 N 472н)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lastRenderedPageBreak/>
        <w:t xml:space="preserve">9. </w:t>
      </w:r>
      <w:proofErr w:type="gramStart"/>
      <w:r>
        <w:t>Ответственным</w:t>
      </w:r>
      <w:proofErr w:type="gramEnd"/>
      <w:r>
        <w:t xml:space="preserve"> за разработку проекта стандарта медицинской помощи определяется департамент Министерства в соответствии с его компетенцией (далее - ответственный департамент).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 xml:space="preserve">10. Проект стандарта медицинской помощи формируется в информационной системе </w:t>
      </w:r>
      <w:proofErr w:type="gramStart"/>
      <w:r>
        <w:t>разработки стандартов медицинской помощи Министерства здравоохранения Российской</w:t>
      </w:r>
      <w:proofErr w:type="gramEnd"/>
      <w:r>
        <w:t xml:space="preserve"> Федерации (далее соответственно - информационная система), на основании предложений, указанных в </w:t>
      </w:r>
      <w:hyperlink w:anchor="P72" w:history="1">
        <w:r>
          <w:rPr>
            <w:color w:val="0000FF"/>
          </w:rPr>
          <w:t>пункте 6</w:t>
        </w:r>
      </w:hyperlink>
      <w:r>
        <w:t xml:space="preserve"> порядка.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11. Организационное и методическое обеспечение разработки стандартов медицинской помощи осуществляется федеральным государственным бюджетным учреждением, находящимся в ведении Министерства, в соответствии с уставом федерального государственного бюджетного учреждения.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12. В рамках организационного и методического обеспечения разработки стандартов медицинской помощи осуществляется: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1) размещение проектов стандартов медицинской помощи в информационной системе;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2) медико-экономическая оценка стандартов медицинской помощи;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3) экспертиза стандартов медицинской помощи в части: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 xml:space="preserve">а) соответствия медицинских услуг </w:t>
      </w:r>
      <w:hyperlink r:id="rId24" w:history="1">
        <w:r>
          <w:rPr>
            <w:color w:val="0000FF"/>
          </w:rPr>
          <w:t>номенклатуре</w:t>
        </w:r>
      </w:hyperlink>
      <w:r>
        <w:t xml:space="preserve"> медицинских услуг, а также корректности усредненных показателей частоты предоставления и кратности применения медицинских услуг;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б) наличия государственной регистрации лекарственных препаратов на основании сведений, содержащихся в государственном реестре лекарственных средств;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в) соответствия указания фармакотерапевтической группы анатомо-терапевтическо-химической классификации, рекомендованной Всемирной организацией здравоохранения;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г) соответствия средних доз лекарственных препаратов инструкции по применению лекарственного препарата и клиническим рекомендациям и корректности усредненных показателей частоты предоставления лекарственных препаратов;</w:t>
      </w:r>
    </w:p>
    <w:p w:rsidR="00511BEC" w:rsidRDefault="00511BE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28.06.2019 N 472н)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 xml:space="preserve">д) соответствия медицинских изделий, имплантируемых в организм человека, утвержденному </w:t>
      </w:r>
      <w:hyperlink r:id="rId26" w:history="1">
        <w:r>
          <w:rPr>
            <w:color w:val="0000FF"/>
          </w:rPr>
          <w:t>Перечню</w:t>
        </w:r>
      </w:hyperlink>
      <w:r>
        <w:t xml:space="preserve"> медицинских изделий;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 xml:space="preserve">е) соответствия средних доз компонентов крови клиническим рекомендациям и корректности усредненного </w:t>
      </w:r>
      <w:proofErr w:type="gramStart"/>
      <w:r>
        <w:t>показателя частоты предоставления компонентов крови</w:t>
      </w:r>
      <w:proofErr w:type="gramEnd"/>
      <w:r>
        <w:t>;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ж) наличия государственной регистрации специализированных продуктов лечебного питания &lt;3&gt;.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7" w:history="1">
        <w:r>
          <w:rPr>
            <w:color w:val="0000FF"/>
          </w:rPr>
          <w:t>Статья 25</w:t>
        </w:r>
      </w:hyperlink>
      <w:r>
        <w:t xml:space="preserve"> технического регламента Таможенного союза "О безопасности пищевой продукции" (</w:t>
      </w:r>
      <w:proofErr w:type="gramStart"/>
      <w:r>
        <w:t>ТР</w:t>
      </w:r>
      <w:proofErr w:type="gramEnd"/>
      <w:r>
        <w:t xml:space="preserve"> ТС 021/2011), утвержденного Решением Комиссии Таможенного союза от 9 декабря 2011 г. N 880 (официальный сайт Комиссии Таможенного союза http://www.tsouz.ru/, 15 декабря 2011 г.), с изменениями, внесенными решениями Коллегии Евразийской экономической комиссии от 11 июня 2013 г. N 129 (официальный сайт Евразийской экономической комиссии </w:t>
      </w:r>
      <w:proofErr w:type="gramStart"/>
      <w:r>
        <w:t>http://www.eurasiancommission.org/, 18 июня 2013 г.) и от 10 июня 2014 г. N 91 (официальный сайт Евразийской экономической комиссии http://www.eurasiancommission.org/, 19 июня 2014 г.).</w:t>
      </w:r>
      <w:proofErr w:type="gramEnd"/>
    </w:p>
    <w:p w:rsidR="00511BEC" w:rsidRDefault="00511BEC">
      <w:pPr>
        <w:pStyle w:val="ConsPlusNormal"/>
        <w:jc w:val="both"/>
      </w:pPr>
    </w:p>
    <w:p w:rsidR="00511BEC" w:rsidRDefault="00511BEC">
      <w:pPr>
        <w:pStyle w:val="ConsPlusNormal"/>
        <w:ind w:firstLine="540"/>
        <w:jc w:val="both"/>
      </w:pPr>
      <w:bookmarkStart w:id="2" w:name="P106"/>
      <w:bookmarkEnd w:id="2"/>
      <w:r>
        <w:lastRenderedPageBreak/>
        <w:t>13. В рамках установленной компетенции департаментами Министерства осуществляется оценка проекта стандарта медицинской помощи:</w:t>
      </w:r>
    </w:p>
    <w:p w:rsidR="00511BEC" w:rsidRDefault="00511BEC">
      <w:pPr>
        <w:pStyle w:val="ConsPlusNormal"/>
        <w:spacing w:before="220"/>
        <w:ind w:firstLine="540"/>
        <w:jc w:val="both"/>
      </w:pPr>
      <w:bookmarkStart w:id="3" w:name="P107"/>
      <w:bookmarkEnd w:id="3"/>
      <w:r>
        <w:t>1) Департаментом лекарственного обеспечения и регулирования обращения медицинских изделий, Департаментом государственного регулирования обращения лекарственных сре</w:t>
      </w:r>
      <w:proofErr w:type="gramStart"/>
      <w:r>
        <w:t>дств в т</w:t>
      </w:r>
      <w:proofErr w:type="gramEnd"/>
      <w:r>
        <w:t>ечение 15 дней с даты размещения проекта стандарта медицинской помощи в информационной системе на предмет: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а) наличия государственной регистрации лекарственного препарата на основании сведений, содержащихся в государственном реестре лекарственных средств;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б) соответствия указания фармакотерапевтической группы анатомо-терапевтическо-химической классификации, рекомендованной Всемирной организацией здравоохранения;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в) соответствия средних доз лекарственных препаратов инструкции по применению лекарственного препарата и клиническим рекомендациям и корректности усредненных показателей частоты предоставления лекарственных препаратов;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 xml:space="preserve">г) соответствия медицинских изделий, имплантируемых в организм человека, утвержденному </w:t>
      </w:r>
      <w:hyperlink r:id="rId28" w:history="1">
        <w:r>
          <w:rPr>
            <w:color w:val="0000FF"/>
          </w:rPr>
          <w:t>Перечню</w:t>
        </w:r>
      </w:hyperlink>
      <w:r>
        <w:t xml:space="preserve"> медицинских изделий &lt;2&gt;;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 xml:space="preserve">2) Департаментом организации медицинской помощи и санаторно-курортного дела, Департаментом медицинской помощи детям и службы родовспоможения, Департаментом организации экстренной медицинской помощи и экспертной деятельности в течение 15 дней с даты </w:t>
      </w:r>
      <w:proofErr w:type="gramStart"/>
      <w:r>
        <w:t>окончания проведения оценки проекта стандарта медицинской</w:t>
      </w:r>
      <w:proofErr w:type="gramEnd"/>
      <w:r>
        <w:t xml:space="preserve"> помощи, предусмотренной </w:t>
      </w:r>
      <w:hyperlink w:anchor="P107" w:history="1">
        <w:r>
          <w:rPr>
            <w:color w:val="0000FF"/>
          </w:rPr>
          <w:t>подпунктом 1</w:t>
        </w:r>
      </w:hyperlink>
      <w:r>
        <w:t xml:space="preserve"> настоящего пункта, на предмет: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 xml:space="preserve">а) соответствия медицинских услуг </w:t>
      </w:r>
      <w:hyperlink r:id="rId29" w:history="1">
        <w:r>
          <w:rPr>
            <w:color w:val="0000FF"/>
          </w:rPr>
          <w:t>номенклатуре</w:t>
        </w:r>
      </w:hyperlink>
      <w:r>
        <w:t xml:space="preserve"> медицинских услуг, а также корректности усредненных показателей частоты предоставления и кратности применения медицинских услуг;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 xml:space="preserve">б) соответствия средних доз компонентов крови клиническим рекомендациям и корректности усредненного </w:t>
      </w:r>
      <w:proofErr w:type="gramStart"/>
      <w:r>
        <w:t>показателя частоты предоставления компонентов крови</w:t>
      </w:r>
      <w:proofErr w:type="gramEnd"/>
      <w:r>
        <w:t>;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в) наличия государственной регистрации специализированных продуктов лечебного питания.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 xml:space="preserve">14. После завершения </w:t>
      </w:r>
      <w:proofErr w:type="gramStart"/>
      <w:r>
        <w:t>проведения оценки проекта стандарта медицинской помощи</w:t>
      </w:r>
      <w:proofErr w:type="gramEnd"/>
      <w:r>
        <w:t xml:space="preserve"> в информационной системе в соответствии с </w:t>
      </w:r>
      <w:hyperlink w:anchor="P106" w:history="1">
        <w:r>
          <w:rPr>
            <w:color w:val="0000FF"/>
          </w:rPr>
          <w:t>пунктом 13</w:t>
        </w:r>
      </w:hyperlink>
      <w:r>
        <w:t xml:space="preserve"> порядка ответственный департамент подготавливает с соблюдением установленных процедур &lt;4&gt; проект нормативного правового акта об утверждении стандарта медицинской помощи и формирует пакет документов, необходимых для его издания.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 (Собрание законодательства Российской Федерации, 2012, N 36, ст. 4902; N 52, ст. 7491, 7507; 2014, N 32, ст. 4502; 2015, N 6, ст. 965; N 31, ст. 4692; 2016, N 10, ст. 1423; N 15, ст. 2086; N 43, ст. 6028; 2017, N 4, ст. 657; N 29, ст. 4374; 2018, N 6, ст. 880),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1084; 2012, N 52, ст. 7507; 2013, N 13, ст. 1575; N 48, ст. 6278; </w:t>
      </w:r>
      <w:proofErr w:type="gramStart"/>
      <w:r>
        <w:t>2015, N 6, ст. 965; N 30, ст. 4604; 2017, N 29, ст. 4374).</w:t>
      </w:r>
      <w:proofErr w:type="gramEnd"/>
    </w:p>
    <w:p w:rsidR="00511BEC" w:rsidRDefault="00511BEC">
      <w:pPr>
        <w:pStyle w:val="ConsPlusNormal"/>
        <w:jc w:val="both"/>
      </w:pPr>
    </w:p>
    <w:p w:rsidR="00511BEC" w:rsidRDefault="00511BEC">
      <w:pPr>
        <w:pStyle w:val="ConsPlusNormal"/>
        <w:ind w:firstLine="540"/>
        <w:jc w:val="both"/>
      </w:pPr>
      <w:r>
        <w:t xml:space="preserve">15. Нормативный правовой акт Министерства, утверждающий стандарт медицинской </w:t>
      </w:r>
      <w:r>
        <w:lastRenderedPageBreak/>
        <w:t>помощи, подлежит государственной регистрации в установленном законодательством Российской Федерации порядке &lt;5&gt;.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1BEC" w:rsidRDefault="00511BE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1997 г. N 1009 "Об утверждении </w:t>
      </w:r>
      <w:proofErr w:type="gramStart"/>
      <w:r>
        <w:t>Правил подготовки нормативных правовых актов федеральных органов исполнительной власти</w:t>
      </w:r>
      <w:proofErr w:type="gramEnd"/>
      <w:r>
        <w:t xml:space="preserve"> и их государственной регистрации" (Собрание законодательства Российской Федерации, 1997, N 33, ст. 3895; N 50, ст. 5689; 1998, N 47, ст. 5771; 1999, N 8, ст. 1026; 2002, N 40, ст. 3929; 2006, N 29, ст. 3251; 2009, N 2, ст. 240; N 12, ст. 1443; 2010, N 9, ст. 964; N 21, ст. 2602; 2011, N 9, ст. 1251; N 29, ст. 4472; N 32, ст. 4834; 2012, N 1, ст. 148; N 19, ст. 2419; </w:t>
      </w:r>
      <w:proofErr w:type="gramStart"/>
      <w:r>
        <w:t>N 27, ст. 3739; N 38, ст. 5102; N 49, ст. 6880; N 52, ст. 7491, 7507; 2013, N 13, ст. 1575; N 38, ст. 4831; N 48, ст. 6259; 2014, N 8, ст. 816; N 51, ст. 7434; 2015, N 6, ст. 965; 2016, N 13, ст. 1840; N 20, ст. 2832;</w:t>
      </w:r>
      <w:proofErr w:type="gramEnd"/>
      <w:r>
        <w:t xml:space="preserve"> </w:t>
      </w:r>
      <w:proofErr w:type="gramStart"/>
      <w:r>
        <w:t>N 35, ст. 5348; N 43, ст. 6028; 2017, N 32, ст. 5088).</w:t>
      </w:r>
      <w:proofErr w:type="gramEnd"/>
    </w:p>
    <w:p w:rsidR="00511BEC" w:rsidRDefault="00511BEC">
      <w:pPr>
        <w:pStyle w:val="ConsPlusNormal"/>
        <w:jc w:val="both"/>
      </w:pPr>
    </w:p>
    <w:p w:rsidR="00511BEC" w:rsidRDefault="00511BEC">
      <w:pPr>
        <w:pStyle w:val="ConsPlusNormal"/>
        <w:jc w:val="both"/>
      </w:pPr>
    </w:p>
    <w:p w:rsidR="00511BEC" w:rsidRDefault="00511B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0228" w:rsidRDefault="000D0228">
      <w:bookmarkStart w:id="4" w:name="_GoBack"/>
      <w:bookmarkEnd w:id="4"/>
    </w:p>
    <w:sectPr w:rsidR="000D0228" w:rsidSect="0019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EC"/>
    <w:rsid w:val="000D0228"/>
    <w:rsid w:val="0051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1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1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1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1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A033D7EC103B03CB37276475160897F121D1ED8DA7C837FDD1E86BF961F399C6EE4886E778D0931FDF025D27DB5DD6EB47440079CB2Z7z0J" TargetMode="External"/><Relationship Id="rId13" Type="http://schemas.openxmlformats.org/officeDocument/2006/relationships/hyperlink" Target="consultantplus://offline/ref=66DA033D7EC103B03CB37276475160897F121D1ED8DA7C837FDD1E86BF961F399C6EE4886E778C0931FDF025D27DB5DD6EB47440079CB2Z7z0J" TargetMode="External"/><Relationship Id="rId18" Type="http://schemas.openxmlformats.org/officeDocument/2006/relationships/hyperlink" Target="consultantplus://offline/ref=66DA033D7EC103B03CB372764751608970121812D6DA7C837FDD1E86BF961F399C6EE4886E778D0631FDF025D27DB5DD6EB47440079CB2Z7z0J" TargetMode="External"/><Relationship Id="rId26" Type="http://schemas.openxmlformats.org/officeDocument/2006/relationships/hyperlink" Target="consultantplus://offline/ref=66DA033D7EC103B03CB372764751608970121812D6DA7C837FDD1E86BF961F399C6EE4886E778D0631FDF025D27DB5DD6EB47440079CB2Z7z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DA033D7EC103B03CB3727647516089761D101AD587768B26D11C81B0C91A3E8D6EE48870768D1138A9A0Z6z8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6DA033D7EC103B03CB37276475160897F111D1BD9DA7C837FDD1E86BF961F399C6EE78B677CD95E7EFCAC60876EB5DD6EB7745FZ0zCJ" TargetMode="External"/><Relationship Id="rId12" Type="http://schemas.openxmlformats.org/officeDocument/2006/relationships/hyperlink" Target="consultantplus://offline/ref=66DA033D7EC103B03CB37276475160897F121D1ED8DA7C837FDD1E86BF961F399C6EE4886E778C0B31FDF025D27DB5DD6EB47440079CB2Z7z0J" TargetMode="External"/><Relationship Id="rId17" Type="http://schemas.openxmlformats.org/officeDocument/2006/relationships/hyperlink" Target="consultantplus://offline/ref=66DA033D7EC103B03CB37276475160897F121D1ED8DA7C837FDD1E86BF961F399C6EE4886E778F0F31FDF025D27DB5DD6EB47440079CB2Z7z0J" TargetMode="External"/><Relationship Id="rId25" Type="http://schemas.openxmlformats.org/officeDocument/2006/relationships/hyperlink" Target="consultantplus://offline/ref=66DA033D7EC103B03CB37276475160897F121D1ED8DA7C837FDD1E86BF961F399C6EE4886E778F0A31FDF025D27DB5DD6EB47440079CB2Z7z0J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DA033D7EC103B03CB373725451608974161E1CD8D7218977841284B899402E8927B0856F77930E3AB7A36186Z7z9J" TargetMode="External"/><Relationship Id="rId20" Type="http://schemas.openxmlformats.org/officeDocument/2006/relationships/hyperlink" Target="consultantplus://offline/ref=66DA033D7EC103B03CB37276475160897F121D1ED8DA7C837FDD1E86BF961F399C6EE4886E778F0D31FDF025D27DB5DD6EB47440079CB2Z7z0J" TargetMode="External"/><Relationship Id="rId29" Type="http://schemas.openxmlformats.org/officeDocument/2006/relationships/hyperlink" Target="consultantplus://offline/ref=66DA033D7EC103B03CB37276475160897F111F1FD9DA7C837FDD1E86BF961F399C6EE4886E778C0931FDF025D27DB5DD6EB47440079CB2Z7z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A033D7EC103B03CB37276475160897F121D1ED8DA7C837FDD1E86BF961F399C6EE4886E778D0931FDF025D27DB5DD6EB47440079CB2Z7z0J" TargetMode="External"/><Relationship Id="rId11" Type="http://schemas.openxmlformats.org/officeDocument/2006/relationships/hyperlink" Target="consultantplus://offline/ref=66DA033D7EC103B03CB37276475160897F121D1ED8DA7C837FDD1E86BF961F399C6EE4886E778C0C31FDF025D27DB5DD6EB47440079CB2Z7z0J" TargetMode="External"/><Relationship Id="rId24" Type="http://schemas.openxmlformats.org/officeDocument/2006/relationships/hyperlink" Target="consultantplus://offline/ref=66DA033D7EC103B03CB37276475160897F111F1FD9DA7C837FDD1E86BF961F399C6EE4886E778C0931FDF025D27DB5DD6EB47440079CB2Z7z0J" TargetMode="External"/><Relationship Id="rId32" Type="http://schemas.openxmlformats.org/officeDocument/2006/relationships/hyperlink" Target="consultantplus://offline/ref=66DA033D7EC103B03CB373725451608975161812DCD0218977841284B899402E8927B0856F77930E3AB7A36186Z7z9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6DA033D7EC103B03CB37276475160897F121D1ED8DA7C837FDD1E86BF961F399C6EE4886E778C0731FDF025D27DB5DD6EB47440079CB2Z7z0J" TargetMode="External"/><Relationship Id="rId23" Type="http://schemas.openxmlformats.org/officeDocument/2006/relationships/hyperlink" Target="consultantplus://offline/ref=66DA033D7EC103B03CB37276475160897F121D1ED8DA7C837FDD1E86BF961F399C6EE4886E778F0A31FDF025D27DB5DD6EB47440079CB2Z7z0J" TargetMode="External"/><Relationship Id="rId28" Type="http://schemas.openxmlformats.org/officeDocument/2006/relationships/hyperlink" Target="consultantplus://offline/ref=66DA033D7EC103B03CB372764751608970121812D6DA7C837FDD1E86BF961F399C6EE4886E778D0631FDF025D27DB5DD6EB47440079CB2Z7z0J" TargetMode="External"/><Relationship Id="rId10" Type="http://schemas.openxmlformats.org/officeDocument/2006/relationships/hyperlink" Target="consultantplus://offline/ref=66DA033D7EC103B03CB37276475160897F121D1ED8DA7C837FDD1E86BF961F399C6EE4886E778C0F31FDF025D27DB5DD6EB47440079CB2Z7z0J" TargetMode="External"/><Relationship Id="rId19" Type="http://schemas.openxmlformats.org/officeDocument/2006/relationships/hyperlink" Target="consultantplus://offline/ref=66DA033D7EC103B03CB373725451608974151C1FD7D4218977841284B899402E8927B0856F77930E3AB7A36186Z7z9J" TargetMode="External"/><Relationship Id="rId31" Type="http://schemas.openxmlformats.org/officeDocument/2006/relationships/hyperlink" Target="consultantplus://offline/ref=66DA033D7EC103B03CB37372545160897516191ADFD2218977841284B899402E8927B0856F77930E3AB7A36186Z7z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DA033D7EC103B03CB373725451608974161C1DD9D5218977841284B899402E9B27E88B6B76865B6BEDF46C8670AADC70AB765E04Z9z5J" TargetMode="External"/><Relationship Id="rId14" Type="http://schemas.openxmlformats.org/officeDocument/2006/relationships/hyperlink" Target="consultantplus://offline/ref=66DA033D7EC103B03CB3727647516089761D101AD587768B26D11C81B0C91A3E8D6EE48870768D1138A9A0Z6z8J" TargetMode="External"/><Relationship Id="rId22" Type="http://schemas.openxmlformats.org/officeDocument/2006/relationships/hyperlink" Target="consultantplus://offline/ref=66DA033D7EC103B03CB37276475160897F121D1ED8DA7C837FDD1E86BF961F399C6EE4886E778F0C31FDF025D27DB5DD6EB47440079CB2Z7z0J" TargetMode="External"/><Relationship Id="rId27" Type="http://schemas.openxmlformats.org/officeDocument/2006/relationships/hyperlink" Target="consultantplus://offline/ref=66DA033D7EC103B03CB373725451608976121D1FDCD6218977841284B899402E9B27E8896E77890B38A2F530C325B9DC70AB755E1B9EB378ZAz4J" TargetMode="External"/><Relationship Id="rId30" Type="http://schemas.openxmlformats.org/officeDocument/2006/relationships/hyperlink" Target="consultantplus://offline/ref=66DA033D7EC103B03CB3737254516089751C1019DED0218977841284B899402E8927B0856F77930E3AB7A36186Z7z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2019-10-10T09:51:00Z</dcterms:created>
  <dcterms:modified xsi:type="dcterms:W3CDTF">2019-10-10T09:52:00Z</dcterms:modified>
</cp:coreProperties>
</file>